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rPr>
          <w:rFonts w:ascii="方正小标宋_GBK" w:eastAsia="方正小标宋_GBK" w:cs="方正小标宋_GBK" w:hint="eastAsia"/>
          <w:color w:val="000000"/>
          <w:sz w:val="40"/>
          <w:szCs w:val="44"/>
          <w:lang w:bidi="ar-SA"/>
          <w:highlight w:val="auto"/>
        </w:rPr>
      </w:pPr>
    </w:p>
    <w:p>
      <w:pPr>
        <w:spacing w:line="580" w:lineRule="exact"/>
        <w:jc w:val="center"/>
        <w:rPr>
          <w:rFonts w:ascii="方正小标宋简体" w:eastAsia="方正小标宋简体" w:cs="CESI宋体-GB13000" w:hint="eastAsia"/>
          <w:color w:val="000000"/>
          <w:sz w:val="44"/>
          <w:szCs w:val="44"/>
          <w:lang w:bidi="ar-SA"/>
          <w:highlight w:val="auto"/>
        </w:rPr>
      </w:pPr>
      <w:r>
        <w:rPr>
          <w:rFonts w:ascii="方正小标宋简体" w:eastAsia="方正小标宋简体" w:cs="CESI宋体-GB13000" w:hint="eastAsia"/>
          <w:color w:val="000000"/>
          <w:sz w:val="44"/>
          <w:szCs w:val="44"/>
          <w:lang w:bidi="ar-SA"/>
          <w:highlight w:val="auto"/>
        </w:rPr>
        <w:t>吉林省</w:t>
      </w:r>
      <w:r>
        <w:rPr>
          <w:rFonts w:ascii="方正小标宋简体" w:eastAsia="方正小标宋简体" w:cs="CESI宋体-GB13000" w:hint="eastAsia"/>
          <w:color w:val="000000"/>
          <w:sz w:val="44"/>
          <w:szCs w:val="44"/>
          <w:lang w:val="en-US" w:eastAsia="zh-CN" w:bidi="ar-SA"/>
          <w:highlight w:val="auto"/>
        </w:rPr>
        <w:t>支持家装家居产品换新</w:t>
      </w:r>
      <w:r>
        <w:rPr>
          <w:rFonts w:ascii="方正小标宋简体" w:eastAsia="方正小标宋简体" w:cs="CESI宋体-GB13000" w:hint="eastAsia"/>
          <w:color w:val="000000"/>
          <w:sz w:val="44"/>
          <w:szCs w:val="44"/>
          <w:lang w:bidi="ar-SA"/>
          <w:highlight w:val="auto"/>
        </w:rPr>
        <w:t>实施细则</w:t>
      </w:r>
    </w:p>
    <w:p>
      <w:pPr>
        <w:spacing w:before="157" w:after="157" w:line="580" w:lineRule="exact"/>
        <w:jc w:val="center"/>
        <w:rPr>
          <w:rFonts w:ascii="楷体" w:eastAsia="楷体" w:cs="楷体" w:hint="eastAsia"/>
          <w:color w:val="000000"/>
          <w:sz w:val="32"/>
          <w:szCs w:val="32"/>
          <w:lang w:bidi="ar-SA"/>
          <w:highlight w:val="auto"/>
        </w:rPr>
      </w:pPr>
      <w:r>
        <w:rPr>
          <w:rFonts w:ascii="楷体" w:eastAsia="楷体" w:cs="楷体" w:hint="eastAsia"/>
          <w:color w:val="000000"/>
          <w:sz w:val="32"/>
          <w:szCs w:val="32"/>
          <w:lang w:bidi="ar-SA"/>
          <w:highlight w:val="auto"/>
        </w:rPr>
        <w:t>（</w:t>
      </w:r>
      <w:r>
        <w:rPr>
          <w:rFonts w:ascii="楷体" w:eastAsia="楷体" w:cs="楷体"/>
          <w:color w:val="000000"/>
          <w:sz w:val="32"/>
          <w:szCs w:val="32"/>
          <w:lang w:bidi="ar-SA"/>
          <w:highlight w:val="auto"/>
        </w:rPr>
        <w:t>试行</w:t>
      </w:r>
      <w:r>
        <w:rPr>
          <w:rFonts w:ascii="楷体" w:eastAsia="楷体" w:cs="楷体" w:hint="eastAsia"/>
          <w:color w:val="000000"/>
          <w:sz w:val="32"/>
          <w:szCs w:val="32"/>
          <w:lang w:bidi="ar-SA"/>
          <w:highlight w:val="auto"/>
        </w:rPr>
        <w:t>）</w:t>
      </w:r>
    </w:p>
    <w:p>
      <w:pPr>
        <w:pStyle w:val="30"/>
        <w:adjustRightInd w:val="0"/>
        <w:snapToGrid w:val="0"/>
        <w:spacing w:line="560" w:lineRule="exact"/>
        <w:ind w:left="0" w:firstLineChars="200" w:firstLine="640"/>
        <w:jc w:val="left"/>
        <w:rPr>
          <w:rFonts w:ascii="仿宋_GB2312" w:eastAsia="仿宋_GB2312" w:cs="仿宋_GB2312" w:hint="eastAsia"/>
          <w:color w:val="000000"/>
          <w:sz w:val="32"/>
          <w:szCs w:val="32"/>
          <w:lang w:bidi="ar-SA"/>
          <w:highlight w:val="auto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  <w:highlight w:val="auto"/>
        </w:rPr>
        <w:t>根据国家发改委、财政部印发《关于加力支持大规模设备更新和消费品以旧换新的若干措施的通知》、商务部等8部门办公厅《关于做好家装厨卫“焕新”工作的通知》和吉林省发改委、吉林省财政厅印发《吉林省加力支持大规模设备更新和消费品以旧换新实施方案》要求，结合我省实际，制订《吉林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  <w:highlight w:val="auto"/>
        </w:rPr>
        <w:t>支持家装家居产品换新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  <w:highlight w:val="auto"/>
        </w:rPr>
        <w:t>实施细则》（以下简称《细则》）。</w:t>
      </w:r>
    </w:p>
    <w:p>
      <w:pPr>
        <w:adjustRightInd w:val="0"/>
        <w:snapToGrid w:val="0"/>
        <w:spacing w:line="560" w:lineRule="exact"/>
        <w:ind w:left="0" w:firstLineChars="200" w:firstLine="640"/>
        <w:contextualSpacing w:val="0"/>
        <w:rPr>
          <w:rFonts w:ascii="黑体" w:eastAsia="黑体" w:hint="eastAsia"/>
          <w:color w:val="000000"/>
          <w:sz w:val="32"/>
          <w:szCs w:val="32"/>
          <w:highlight w:val="auto"/>
        </w:rPr>
      </w:pPr>
      <w:r>
        <w:rPr>
          <w:rFonts w:ascii="黑体" w:eastAsia="黑体" w:hint="eastAsia"/>
          <w:color w:val="000000"/>
          <w:sz w:val="32"/>
          <w:szCs w:val="32"/>
          <w:highlight w:val="auto"/>
        </w:rPr>
        <w:t>一、实施时间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1243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Chars="200" w:firstLine="640"/>
        <w:jc w:val="left"/>
        <w:outlineLvl w:val="9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本《细则》印发之日起，至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  <w:highlight w:val="auto"/>
        </w:rPr>
        <w:t>2024年12月31日止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。政策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  <w:highlight w:val="auto"/>
        </w:rPr>
        <w:t>期内，中央和省级支持</w:t>
      </w:r>
      <w:r>
        <w:rPr>
          <w:rFonts w:ascii="仿宋_GB2312" w:eastAsia="仿宋_GB2312" w:cs="仿宋_GB2312" w:hint="eastAsia"/>
          <w:color w:val="000000"/>
          <w:sz w:val="32"/>
          <w:szCs w:val="32"/>
          <w:highlight w:val="auto"/>
        </w:rPr>
        <w:t>各地开展家装厨卫“焕”新活动，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对购买旧房装修、厨卫等局部改造、居家适老化改造所用物品和材料，以及智能家居产品的消费者给予适当补贴。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下达各地补贴资金提前使用完毕的，由各地区发布公告自动终止。</w:t>
      </w:r>
    </w:p>
    <w:p>
      <w:pPr>
        <w:pStyle w:val="30"/>
        <w:adjustRightInd w:val="0"/>
        <w:snapToGrid w:val="0"/>
        <w:spacing w:line="560" w:lineRule="exact"/>
        <w:ind w:left="0" w:firstLineChars="200" w:firstLine="640"/>
        <w:rPr>
          <w:rFonts w:ascii="黑体" w:eastAsia="黑体" w:hint="eastAsia"/>
          <w:color w:val="000000"/>
          <w:sz w:val="32"/>
          <w:szCs w:val="32"/>
          <w:highlight w:val="auto"/>
        </w:rPr>
      </w:pPr>
      <w:r>
        <w:rPr>
          <w:rFonts w:ascii="黑体" w:eastAsia="黑体"/>
          <w:color w:val="000000"/>
          <w:sz w:val="32"/>
          <w:szCs w:val="32"/>
          <w:lang w:val="en-US" w:eastAsia="zh-CN"/>
          <w:highlight w:val="auto"/>
        </w:rPr>
        <w:t>二</w:t>
      </w:r>
      <w:r>
        <w:rPr>
          <w:rFonts w:ascii="黑体" w:eastAsia="黑体" w:hint="eastAsia"/>
          <w:color w:val="000000"/>
          <w:sz w:val="32"/>
          <w:szCs w:val="32"/>
          <w:lang w:val="en-US" w:eastAsia="zh-CN"/>
          <w:highlight w:val="auto"/>
        </w:rPr>
        <w:t>、</w:t>
      </w:r>
      <w:r>
        <w:rPr>
          <w:rFonts w:ascii="黑体" w:eastAsia="黑体" w:hint="eastAsia"/>
          <w:color w:val="000000"/>
          <w:sz w:val="32"/>
          <w:szCs w:val="32"/>
          <w:highlight w:val="auto"/>
        </w:rPr>
        <w:t>补贴范围</w:t>
      </w:r>
    </w:p>
    <w:p>
      <w:pPr>
        <w:tabs>
          <w:tab w:val="left" w:pos="1243"/>
        </w:tabs>
        <w:adjustRightInd w:val="0"/>
        <w:snapToGrid w:val="0"/>
        <w:spacing w:line="560" w:lineRule="exact"/>
        <w:ind w:left="0" w:firstLineChars="200" w:firstLine="640"/>
        <w:contextualSpacing w:val="0"/>
        <w:jc w:val="left"/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</w:pPr>
      <w:r>
        <w:rPr>
          <w:rFonts w:ascii="楷体" w:eastAsia="楷体" w:cs="仿宋"/>
          <w:bCs/>
          <w:color w:val="000000"/>
          <w:sz w:val="32"/>
          <w:szCs w:val="32"/>
          <w:lang w:val="en-US" w:eastAsia="zh-CN"/>
          <w:highlight w:val="auto"/>
        </w:rPr>
        <w:t>1.</w:t>
      </w:r>
      <w:r>
        <w:rPr>
          <w:rFonts w:ascii="楷体" w:eastAsia="楷体" w:cs="仿宋" w:hint="eastAsia"/>
          <w:bCs/>
          <w:color w:val="000000"/>
          <w:sz w:val="32"/>
          <w:szCs w:val="32"/>
          <w:highlight w:val="auto"/>
        </w:rPr>
        <w:t>成品类。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  <w:t>床、床垫、沙发、衣柜、浴室柜、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</w:rPr>
        <w:t>智能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  <w:t>马桶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 w:bidi="ar-SA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</w:rPr>
        <w:t>智能家用监控、智能照明、智能窗帘、智能晾衣架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  <w:t>。</w:t>
      </w:r>
    </w:p>
    <w:p>
      <w:pPr>
        <w:tabs>
          <w:tab w:val="left" w:pos="1243"/>
        </w:tabs>
        <w:adjustRightInd w:val="0"/>
        <w:snapToGrid w:val="0"/>
        <w:spacing w:line="560" w:lineRule="exact"/>
        <w:ind w:firstLineChars="200" w:firstLine="640"/>
        <w:contextualSpacing w:val="0"/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</w:pPr>
      <w:r>
        <w:rPr>
          <w:rFonts w:ascii="楷体" w:eastAsia="楷体" w:cs="仿宋"/>
          <w:bCs/>
          <w:color w:val="000000"/>
          <w:sz w:val="32"/>
          <w:szCs w:val="32"/>
          <w:highlight w:val="auto"/>
        </w:rPr>
        <w:t>2.</w:t>
      </w:r>
      <w:r>
        <w:rPr>
          <w:rFonts w:ascii="楷体" w:eastAsia="楷体" w:cs="仿宋" w:hint="eastAsia"/>
          <w:bCs/>
          <w:color w:val="000000"/>
          <w:sz w:val="32"/>
          <w:szCs w:val="32"/>
          <w:highlight w:val="auto"/>
        </w:rPr>
        <w:t>定制类。</w:t>
      </w:r>
      <w:r>
        <w:rPr>
          <w:rFonts w:ascii="仿宋_GB2312" w:eastAsia="仿宋_GB2312" w:cs="仿宋" w:hint="eastAsia"/>
          <w:color w:val="000000"/>
          <w:sz w:val="32"/>
          <w:szCs w:val="32"/>
          <w:lang w:val="en-US" w:eastAsia="zh-CN" w:bidi="ar-SA"/>
          <w:highlight w:val="auto"/>
        </w:rPr>
        <w:t>套装门、套装窗、整体柜、</w:t>
      </w:r>
      <w:r>
        <w:rPr>
          <w:rFonts w:ascii="仿宋_GB2312" w:eastAsia="仿宋_GB2312" w:cs="仿宋" w:hint="eastAsia"/>
          <w:color w:val="000000"/>
          <w:sz w:val="32"/>
          <w:szCs w:val="32"/>
          <w:lang w:bidi="ar-SA"/>
        </w:rPr>
        <w:t>瓷砖、地板。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43"/>
        </w:tabs>
        <w:wordWrap/>
        <w:adjustRightInd w:val="0"/>
        <w:snapToGrid w:val="0"/>
        <w:spacing w:line="560" w:lineRule="exact"/>
        <w:ind w:firstLineChars="200" w:firstLine="640"/>
        <w:contextualSpacing w:val="0"/>
        <w:rPr>
          <w:rFonts w:ascii="仿宋_GB2312" w:eastAsia="仿宋_GB2312" w:cs="仿宋_GB2312" w:hint="eastAsia"/>
          <w:bCs/>
          <w:color w:val="000000"/>
          <w:sz w:val="32"/>
          <w:szCs w:val="32"/>
        </w:rPr>
      </w:pPr>
      <w:r>
        <w:rPr>
          <w:rFonts w:ascii="楷体" w:eastAsia="楷体" w:cs="仿宋" w:hint="eastAsia"/>
          <w:bCs/>
          <w:color w:val="000000"/>
          <w:sz w:val="32"/>
          <w:szCs w:val="32"/>
          <w:lang w:val="en-US" w:eastAsia="zh-CN" w:bidi="ar-SA"/>
          <w:highlight w:val="auto"/>
        </w:rPr>
        <w:t>3.</w:t>
      </w:r>
      <w:r>
        <w:rPr>
          <w:rFonts w:ascii="楷体" w:eastAsia="楷体" w:cs="仿宋" w:hint="eastAsia"/>
          <w:bCs/>
          <w:color w:val="000000"/>
          <w:sz w:val="32"/>
          <w:szCs w:val="32"/>
          <w:highlight w:val="auto"/>
        </w:rPr>
        <w:t>适老化</w:t>
      </w:r>
      <w:r>
        <w:rPr>
          <w:rFonts w:ascii="楷体" w:eastAsia="楷体" w:cs="仿宋" w:hint="eastAsia"/>
          <w:bCs/>
          <w:color w:val="000000"/>
          <w:sz w:val="32"/>
          <w:szCs w:val="32"/>
        </w:rPr>
        <w:t>产品。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护理功能床、轮椅、步入式浴缸、坐式淋浴器、按摩椅。</w:t>
      </w:r>
    </w:p>
    <w:p>
      <w:pPr>
        <w:tabs>
          <w:tab w:val="left" w:pos="1243"/>
        </w:tabs>
        <w:adjustRightInd w:val="0"/>
        <w:snapToGrid w:val="0"/>
        <w:spacing w:line="560" w:lineRule="exact"/>
        <w:ind w:firstLineChars="200" w:firstLine="640"/>
        <w:contextualSpacing w:val="0"/>
        <w:rPr>
          <w:rFonts w:ascii="仿宋_GB2312" w:eastAsia="仿宋_GB2312" w:cs="仿宋" w:hint="eastAsia"/>
          <w:color w:val="000000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以上品类中获得绿色产品认证的节能、节水等产品优先纳入政策实施范围。各地可结合实际增加补贴品类，并向省商务厅报备。</w:t>
      </w:r>
    </w:p>
    <w:p>
      <w:pPr>
        <w:tabs>
          <w:tab w:val="left" w:pos="1243"/>
        </w:tabs>
        <w:adjustRightInd w:val="0"/>
        <w:snapToGrid w:val="0"/>
        <w:spacing w:line="560" w:lineRule="exact"/>
        <w:ind w:left="0" w:firstLineChars="200" w:firstLine="640"/>
        <w:contextualSpacing w:val="0"/>
        <w:rPr>
          <w:rFonts w:ascii="黑体" w:eastAsia="黑体" w:hint="eastAsia"/>
          <w:color w:val="000000"/>
          <w:sz w:val="32"/>
          <w:szCs w:val="32"/>
          <w:lang w:eastAsia="zh-CN"/>
          <w:highlight w:val="auto"/>
        </w:rPr>
      </w:pPr>
      <w:r>
        <w:rPr>
          <w:rFonts w:ascii="黑体" w:eastAsia="黑体"/>
          <w:color w:val="000000"/>
          <w:sz w:val="32"/>
          <w:szCs w:val="32"/>
          <w:lang w:val="en-US" w:eastAsia="zh-CN"/>
          <w:highlight w:val="auto"/>
        </w:rPr>
        <w:t>三</w:t>
      </w:r>
      <w:r>
        <w:rPr>
          <w:rFonts w:ascii="黑体" w:eastAsia="黑体" w:hint="eastAsia"/>
          <w:color w:val="000000"/>
          <w:sz w:val="32"/>
          <w:szCs w:val="32"/>
          <w:lang w:val="en-US" w:eastAsia="zh-CN"/>
          <w:highlight w:val="auto"/>
        </w:rPr>
        <w:t>、</w:t>
      </w:r>
      <w:r>
        <w:rPr>
          <w:rFonts w:ascii="黑体" w:eastAsia="黑体" w:hint="eastAsia"/>
          <w:color w:val="000000"/>
          <w:sz w:val="32"/>
          <w:szCs w:val="32"/>
          <w:highlight w:val="auto"/>
        </w:rPr>
        <w:t>补贴</w:t>
      </w:r>
      <w:r>
        <w:rPr>
          <w:rFonts w:ascii="黑体" w:eastAsia="黑体" w:hint="eastAsia"/>
          <w:color w:val="000000"/>
          <w:sz w:val="32"/>
          <w:szCs w:val="32"/>
          <w:lang w:val="en-US" w:eastAsia="zh-CN"/>
          <w:highlight w:val="auto"/>
        </w:rPr>
        <w:t>对象</w:t>
      </w:r>
    </w:p>
    <w:p>
      <w:pPr>
        <w:adjustRightInd w:val="0"/>
        <w:snapToGrid w:val="0"/>
        <w:spacing w:line="560" w:lineRule="exact"/>
        <w:ind w:left="0" w:firstLineChars="200" w:firstLine="640"/>
        <w:contextualSpacing w:val="0"/>
        <w:rPr>
          <w:rFonts w:ascii="仿宋_GB2312" w:eastAsia="仿宋_GB2312" w:cs="仿宋" w:hint="eastAsia"/>
          <w:color w:val="000000"/>
          <w:sz w:val="32"/>
          <w:szCs w:val="32"/>
          <w:lang w:val="en-US" w:eastAsia="zh-CN" w:bidi="ar-SA"/>
          <w:highlight w:val="auto"/>
        </w:rPr>
      </w:pPr>
      <w:r>
        <w:rPr>
          <w:rFonts w:ascii="仿宋_GB2312" w:eastAsia="仿宋_GB2312" w:cs="仿宋" w:hint="eastAsia"/>
          <w:color w:val="000000"/>
          <w:sz w:val="32"/>
          <w:szCs w:val="32"/>
          <w:lang w:val="en-US" w:eastAsia="zh-CN" w:bidi="ar-SA"/>
          <w:highlight w:val="auto"/>
        </w:rPr>
        <w:t>1.在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  <w:highlight w:val="auto"/>
        </w:rPr>
        <w:t>吉林</w:t>
      </w:r>
      <w:bookmarkStart w:id="0" w:name="_GoBack"/>
      <w:bookmarkEnd w:id="0"/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  <w:highlight w:val="auto"/>
        </w:rPr>
        <w:t>省内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购买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本《细则》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  <w:highlight w:val="auto"/>
        </w:rPr>
        <w:t>明确</w:t>
      </w:r>
      <w:r>
        <w:rPr>
          <w:rFonts w:ascii="仿宋_GB2312" w:eastAsia="仿宋_GB2312" w:cs="仿宋_GB2312" w:hint="eastAsia"/>
          <w:color w:val="000000"/>
          <w:sz w:val="32"/>
          <w:szCs w:val="32"/>
          <w:highlight w:val="auto"/>
        </w:rPr>
        <w:t>补</w:t>
      </w:r>
      <w:r>
        <w:rPr>
          <w:rFonts w:ascii="仿宋_GB2312" w:eastAsia="仿宋_GB2312" w:cs="仿宋_GB2312"/>
          <w:color w:val="000000"/>
          <w:sz w:val="32"/>
          <w:szCs w:val="32"/>
          <w:lang w:bidi="ar-SA"/>
          <w:highlight w:val="auto"/>
        </w:rPr>
        <w:t>贴范围内产品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  <w:highlight w:val="auto"/>
        </w:rPr>
        <w:t>的个人消费者</w:t>
      </w:r>
      <w:r>
        <w:rPr>
          <w:rFonts w:ascii="仿宋_GB2312" w:eastAsia="仿宋_GB2312" w:cs="仿宋" w:hint="eastAsia"/>
          <w:color w:val="000000"/>
          <w:sz w:val="32"/>
          <w:szCs w:val="32"/>
          <w:lang w:val="en-US" w:eastAsia="zh-CN" w:bidi="ar-SA"/>
          <w:highlight w:val="auto"/>
        </w:rPr>
        <w:t>。</w:t>
      </w:r>
    </w:p>
    <w:p>
      <w:pPr>
        <w:pStyle w:val="16"/>
        <w:adjustRightInd w:val="0"/>
        <w:snapToGrid w:val="0"/>
        <w:spacing w:line="560" w:lineRule="exact"/>
        <w:ind w:left="0" w:firstLineChars="200" w:firstLine="621"/>
        <w:rPr>
          <w:rFonts w:ascii="仿宋_GB2312" w:eastAsia="仿宋_GB2312" w:cs="仿宋_GB2312" w:hint="eastAsia"/>
          <w:color w:val="000000"/>
          <w:sz w:val="32"/>
          <w:szCs w:val="32"/>
          <w:lang w:eastAsia="zh-CN" w:bidi="ar-SA"/>
          <w:highlight w:val="auto"/>
        </w:rPr>
      </w:pPr>
      <w:r>
        <w:rPr>
          <w:rFonts w:ascii="仿宋_GB2312" w:eastAsia="仿宋_GB2312" w:cs="仿宋" w:hint="eastAsia"/>
          <w:color w:val="000000"/>
          <w:w w:val="97"/>
          <w:sz w:val="32"/>
          <w:szCs w:val="32"/>
          <w:lang w:val="en-US" w:eastAsia="zh-CN" w:bidi="ar-SA"/>
          <w:highlight w:val="auto"/>
        </w:rPr>
        <w:t>2.</w:t>
      </w:r>
      <w:r>
        <w:rPr>
          <w:rFonts w:ascii="仿宋_GB2312" w:eastAsia="仿宋_GB2312" w:cs="仿宋"/>
          <w:color w:val="000000"/>
          <w:w w:val="97"/>
          <w:sz w:val="32"/>
          <w:szCs w:val="32"/>
          <w:lang w:val="en-US" w:eastAsia="zh-CN" w:bidi="ar-SA"/>
          <w:highlight w:val="auto"/>
        </w:rPr>
        <w:t>每位消费者每类产品</w:t>
      </w:r>
      <w:r>
        <w:rPr>
          <w:rFonts w:ascii="仿宋_GB2312" w:eastAsia="仿宋_GB2312" w:cs="仿宋" w:hint="eastAsia"/>
          <w:color w:val="000000"/>
          <w:w w:val="97"/>
          <w:sz w:val="32"/>
          <w:szCs w:val="32"/>
          <w:lang w:val="en-US" w:eastAsia="zh-CN" w:bidi="ar-SA"/>
        </w:rPr>
        <w:t>（</w:t>
      </w:r>
      <w:r>
        <w:rPr>
          <w:rFonts w:ascii="仿宋_GB2312" w:eastAsia="仿宋_GB2312" w:cs="仿宋"/>
          <w:color w:val="000000"/>
          <w:w w:val="97"/>
          <w:sz w:val="32"/>
          <w:szCs w:val="32"/>
          <w:lang w:val="en-US" w:eastAsia="zh-CN" w:bidi="ar-SA"/>
        </w:rPr>
        <w:t>指细分的具体产品</w:t>
      </w:r>
      <w:r>
        <w:rPr>
          <w:rFonts w:ascii="仿宋_GB2312" w:eastAsia="仿宋_GB2312" w:cs="仿宋" w:hint="eastAsia"/>
          <w:color w:val="000000"/>
          <w:w w:val="97"/>
          <w:sz w:val="32"/>
          <w:szCs w:val="32"/>
          <w:lang w:val="en-US" w:eastAsia="zh-CN" w:bidi="ar-SA"/>
        </w:rPr>
        <w:t>）</w:t>
      </w:r>
      <w:r>
        <w:rPr>
          <w:rFonts w:ascii="仿宋_GB2312" w:eastAsia="仿宋_GB2312" w:cs="仿宋"/>
          <w:color w:val="000000"/>
          <w:w w:val="97"/>
          <w:sz w:val="32"/>
          <w:szCs w:val="32"/>
          <w:lang w:val="en-US" w:eastAsia="zh-CN" w:bidi="ar-SA"/>
        </w:rPr>
        <w:t>只</w:t>
      </w:r>
      <w:r>
        <w:rPr>
          <w:rFonts w:ascii="仿宋_GB2312" w:eastAsia="仿宋_GB2312" w:cs="仿宋" w:hint="eastAsia"/>
          <w:color w:val="000000"/>
          <w:w w:val="97"/>
          <w:sz w:val="32"/>
          <w:szCs w:val="32"/>
          <w:lang w:val="en-US" w:eastAsia="zh-CN" w:bidi="ar-SA"/>
        </w:rPr>
        <w:t>可</w:t>
      </w:r>
      <w:r>
        <w:rPr>
          <w:rFonts w:ascii="仿宋_GB2312" w:eastAsia="仿宋_GB2312" w:cs="仿宋"/>
          <w:color w:val="000000"/>
          <w:w w:val="97"/>
          <w:sz w:val="32"/>
          <w:szCs w:val="32"/>
          <w:lang w:val="en-US" w:eastAsia="zh-CN" w:bidi="ar-SA"/>
        </w:rPr>
        <w:t>享受</w:t>
      </w:r>
      <w:r>
        <w:rPr>
          <w:rFonts w:ascii="仿宋_GB2312" w:eastAsia="仿宋_GB2312" w:cs="仿宋" w:hint="eastAsia"/>
          <w:color w:val="000000"/>
          <w:w w:val="97"/>
          <w:sz w:val="32"/>
          <w:szCs w:val="32"/>
          <w:lang w:val="en-US" w:eastAsia="zh-CN" w:bidi="ar-SA"/>
        </w:rPr>
        <w:t>补贴1件（次）</w:t>
      </w:r>
      <w:r>
        <w:rPr>
          <w:rFonts w:ascii="仿宋_GB2312" w:eastAsia="仿宋_GB2312" w:cs="仿宋"/>
          <w:color w:val="000000"/>
          <w:w w:val="97"/>
          <w:sz w:val="32"/>
          <w:szCs w:val="32"/>
          <w:lang w:val="en-US" w:eastAsia="zh-CN" w:bidi="ar-SA"/>
        </w:rPr>
        <w:t>。</w:t>
      </w:r>
    </w:p>
    <w:p>
      <w:pPr>
        <w:pStyle w:val="16"/>
        <w:adjustRightInd w:val="0"/>
        <w:snapToGrid w:val="0"/>
        <w:spacing w:line="560" w:lineRule="exact"/>
        <w:ind w:left="0" w:firstLineChars="200" w:firstLine="640"/>
        <w:rPr>
          <w:rFonts w:ascii="黑体" w:eastAsia="黑体" w:hint="eastAsia"/>
          <w:color w:val="000000"/>
          <w:sz w:val="32"/>
          <w:szCs w:val="32"/>
          <w:lang w:eastAsia="zh-CN"/>
          <w:highlight w:val="auto"/>
        </w:rPr>
      </w:pPr>
      <w:r>
        <w:rPr>
          <w:rFonts w:ascii="黑体" w:eastAsia="黑体"/>
          <w:color w:val="000000"/>
          <w:sz w:val="32"/>
          <w:szCs w:val="32"/>
          <w:lang w:val="en-US" w:eastAsia="zh-CN"/>
          <w:highlight w:val="auto"/>
        </w:rPr>
        <w:t>四</w:t>
      </w:r>
      <w:r>
        <w:rPr>
          <w:rFonts w:ascii="黑体" w:eastAsia="黑体" w:hint="eastAsia"/>
          <w:color w:val="000000"/>
          <w:sz w:val="32"/>
          <w:szCs w:val="32"/>
          <w:lang w:val="en-US" w:eastAsia="zh-CN"/>
          <w:highlight w:val="auto"/>
        </w:rPr>
        <w:t>、补贴</w:t>
      </w:r>
      <w:r>
        <w:rPr>
          <w:rFonts w:ascii="黑体" w:eastAsia="黑体" w:hint="eastAsia"/>
          <w:color w:val="000000"/>
          <w:sz w:val="32"/>
          <w:szCs w:val="32"/>
          <w:lang w:eastAsia="zh-CN"/>
          <w:highlight w:val="auto"/>
        </w:rPr>
        <w:t>标准</w:t>
      </w:r>
    </w:p>
    <w:p>
      <w:pPr>
        <w:pStyle w:val="16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lang w:val="en-US" w:eastAsia="zh-CN" w:bidi="ar-SA"/>
          <w:highlight w:val="auto"/>
        </w:rPr>
      </w:pPr>
      <w:r>
        <w:rPr>
          <w:rFonts w:ascii="仿宋_GB2312" w:eastAsia="仿宋_GB2312" w:cs="仿宋" w:hint="eastAsia"/>
          <w:color w:val="000000"/>
          <w:sz w:val="32"/>
          <w:szCs w:val="32"/>
          <w:lang w:bidi="ar-SA"/>
        </w:rPr>
        <w:t>按购买商品实际</w:t>
      </w:r>
      <w:r>
        <w:rPr>
          <w:rFonts w:ascii="仿宋_GB2312" w:eastAsia="仿宋_GB2312" w:cs="仿宋" w:hint="eastAsia"/>
          <w:color w:val="000000"/>
          <w:sz w:val="32"/>
          <w:szCs w:val="32"/>
        </w:rPr>
        <w:t>成交价格的</w:t>
      </w:r>
      <w:r>
        <w:rPr>
          <w:rFonts w:ascii="仿宋_GB2312" w:eastAsia="仿宋_GB2312" w:cs="仿宋" w:hint="eastAsia"/>
          <w:color w:val="000000"/>
          <w:sz w:val="32"/>
          <w:szCs w:val="32"/>
          <w:lang w:eastAsia="zh-CN"/>
        </w:rPr>
        <w:t>15</w:t>
      </w:r>
      <w:r>
        <w:rPr>
          <w:rFonts w:ascii="仿宋_GB2312" w:eastAsia="仿宋_GB2312" w:cs="仿宋" w:hint="eastAsia"/>
          <w:color w:val="000000"/>
          <w:sz w:val="32"/>
          <w:szCs w:val="32"/>
        </w:rPr>
        <w:t>%给予补贴，每类产品补贴不超过2000元，每位消费者累计补贴最高15000元。补贴资金</w:t>
      </w:r>
      <w:r>
        <w:rPr>
          <w:rFonts w:ascii="仿宋_GB2312" w:eastAsia="仿宋_GB2312" w:cs="仿宋" w:hint="eastAsia"/>
          <w:color w:val="000000"/>
          <w:sz w:val="32"/>
          <w:szCs w:val="32"/>
          <w:highlight w:val="auto"/>
        </w:rPr>
        <w:t>计算基数，是指在规定期限内，消费者参与完成生产商、经</w:t>
      </w:r>
      <w:r>
        <w:rPr>
          <w:rFonts w:ascii="仿宋_GB2312" w:eastAsia="仿宋_GB2312" w:cs="仿宋" w:hint="eastAsia"/>
          <w:color w:val="000000"/>
          <w:sz w:val="32"/>
          <w:szCs w:val="32"/>
          <w:lang w:bidi="ar-SA"/>
          <w:highlight w:val="auto"/>
        </w:rPr>
        <w:t>销商等各项优惠活动基础上的最终成交价格进行核算</w:t>
      </w:r>
      <w:r>
        <w:rPr>
          <w:rFonts w:ascii="仿宋_GB2312" w:eastAsia="仿宋_GB2312" w:cs="仿宋" w:hint="eastAsia"/>
          <w:color w:val="000000"/>
          <w:sz w:val="32"/>
          <w:szCs w:val="32"/>
          <w:lang w:val="en-US" w:eastAsia="zh-CN" w:bidi="ar-SA"/>
          <w:highlight w:val="auto"/>
        </w:rPr>
        <w:t>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ascii="黑体" w:eastAsia="黑体" w:hint="eastAsia"/>
          <w:color w:val="000000"/>
          <w:sz w:val="32"/>
          <w:szCs w:val="32"/>
          <w:highlight w:val="auto"/>
        </w:rPr>
      </w:pPr>
      <w:r>
        <w:rPr>
          <w:rFonts w:ascii="黑体" w:eastAsia="黑体"/>
          <w:color w:val="000000"/>
          <w:sz w:val="32"/>
          <w:szCs w:val="32"/>
          <w:highlight w:val="auto"/>
        </w:rPr>
        <w:t>五</w:t>
      </w:r>
      <w:r>
        <w:rPr>
          <w:rFonts w:ascii="黑体" w:eastAsia="黑体" w:hint="eastAsia"/>
          <w:color w:val="000000"/>
          <w:sz w:val="32"/>
          <w:szCs w:val="32"/>
          <w:highlight w:val="auto"/>
        </w:rPr>
        <w:t>、补贴流程</w:t>
      </w:r>
    </w:p>
    <w:p>
      <w:pPr>
        <w:pStyle w:val="31"/>
        <w:adjustRightInd w:val="0"/>
        <w:snapToGrid w:val="0"/>
        <w:spacing w:line="560" w:lineRule="exact"/>
        <w:ind w:left="0"/>
        <w:rPr>
          <w:rFonts w:ascii="仿宋_GB2312" w:eastAsia="仿宋_GB2312" w:cs="仿宋" w:hint="eastAsia"/>
          <w:bCs/>
          <w:color w:val="000000"/>
          <w:sz w:val="32"/>
          <w:szCs w:val="32"/>
          <w:lang w:val="en-US" w:eastAsia="zh-CN" w:bidi="ar-SA"/>
        </w:rPr>
      </w:pPr>
      <w:r>
        <w:rPr>
          <w:rFonts w:ascii="仿宋_GB2312" w:eastAsia="仿宋_GB2312" w:cs="仿宋" w:hint="eastAsia"/>
          <w:bCs/>
          <w:color w:val="000000"/>
          <w:sz w:val="32"/>
          <w:szCs w:val="32"/>
          <w:lang w:val="en-US" w:eastAsia="zh-CN" w:bidi="ar-SA"/>
        </w:rPr>
        <w:t xml:space="preserve">    使用中国银联云闪付平台发放补贴资金。具体流程如下：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Chars="200" w:firstLine="640"/>
        <w:textAlignment w:val="auto"/>
        <w:rPr>
          <w:rFonts w:ascii="仿宋_GB2312" w:eastAsia="仿宋_GB2312" w:cs="仿宋" w:hint="eastAsia"/>
          <w:bCs/>
          <w:color w:val="auto"/>
          <w:sz w:val="32"/>
          <w:szCs w:val="32"/>
          <w:lang w:val="en-US" w:eastAsia="zh-CN" w:bidi="ar-SA"/>
        </w:rPr>
      </w:pPr>
      <w:r>
        <w:rPr>
          <w:rFonts w:ascii="仿宋_GB2312" w:eastAsia="仿宋_GB2312" w:cs="仿宋" w:hint="eastAsia"/>
          <w:bCs/>
          <w:color w:val="000000"/>
          <w:sz w:val="32"/>
          <w:szCs w:val="32"/>
          <w:lang w:val="en-US" w:eastAsia="zh-CN" w:bidi="ar-SA"/>
        </w:rPr>
        <w:t>1.消费者</w:t>
      </w:r>
      <w:r>
        <w:rPr>
          <w:rFonts w:ascii="仿宋_GB2312" w:eastAsia="仿宋_GB2312" w:cs="仿宋" w:hint="eastAsia"/>
          <w:bCs/>
          <w:color w:val="auto"/>
          <w:sz w:val="32"/>
          <w:szCs w:val="32"/>
          <w:lang w:val="en-US" w:eastAsia="zh-CN" w:bidi="ar-SA"/>
        </w:rPr>
        <w:t>实名注册云闪付APP，登录“你瞅啥”小程序--政府补贴，点击查看预购</w:t>
      </w:r>
      <w:r>
        <w:rPr>
          <w:rFonts w:ascii="仿宋_GB2312" w:eastAsia="仿宋_GB2312" w:cs="仿宋"/>
          <w:bCs/>
          <w:color w:val="auto"/>
          <w:sz w:val="32"/>
          <w:szCs w:val="32"/>
          <w:lang w:val="en-US" w:eastAsia="zh-CN" w:bidi="ar-SA"/>
        </w:rPr>
        <w:t>家装</w:t>
      </w:r>
      <w:r>
        <w:rPr>
          <w:rFonts w:ascii="仿宋_GB2312" w:eastAsia="仿宋_GB2312" w:cs="仿宋" w:hint="eastAsia"/>
          <w:bCs/>
          <w:color w:val="auto"/>
          <w:sz w:val="32"/>
          <w:szCs w:val="32"/>
          <w:lang w:val="en-US" w:eastAsia="zh-CN" w:bidi="ar-SA"/>
        </w:rPr>
        <w:t>家居</w:t>
      </w:r>
      <w:r>
        <w:rPr>
          <w:rFonts w:ascii="仿宋_GB2312" w:eastAsia="仿宋_GB2312" w:cs="仿宋"/>
          <w:bCs/>
          <w:color w:val="auto"/>
          <w:sz w:val="32"/>
          <w:szCs w:val="32"/>
          <w:lang w:val="en-US" w:eastAsia="zh-CN" w:bidi="ar-SA"/>
        </w:rPr>
        <w:t>产品</w:t>
      </w:r>
      <w:r>
        <w:rPr>
          <w:rFonts w:ascii="仿宋_GB2312" w:eastAsia="仿宋_GB2312" w:cs="仿宋" w:hint="eastAsia"/>
          <w:bCs/>
          <w:color w:val="auto"/>
          <w:sz w:val="32"/>
          <w:szCs w:val="32"/>
          <w:lang w:val="en-US" w:eastAsia="zh-CN" w:bidi="ar-SA"/>
        </w:rPr>
        <w:t>补贴参与细则。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Chars="200" w:firstLine="640"/>
        <w:textAlignment w:val="auto"/>
        <w:rPr>
          <w:rFonts w:ascii="仿宋_GB2312" w:eastAsia="仿宋_GB2312" w:cs="仿宋" w:hint="eastAsia"/>
          <w:bCs/>
          <w:color w:val="000000"/>
          <w:sz w:val="32"/>
          <w:szCs w:val="32"/>
        </w:rPr>
      </w:pPr>
      <w:r>
        <w:rPr>
          <w:rFonts w:ascii="仿宋_GB2312" w:eastAsia="仿宋_GB2312" w:cs="仿宋" w:hint="eastAsia"/>
          <w:bCs/>
          <w:color w:val="auto"/>
          <w:sz w:val="32"/>
          <w:szCs w:val="32"/>
        </w:rPr>
        <w:t>2.消费者在</w:t>
      </w:r>
      <w:r>
        <w:rPr>
          <w:rFonts w:ascii="仿宋_GB2312" w:eastAsia="仿宋_GB2312" w:cs="仿宋" w:hint="eastAsia"/>
          <w:color w:val="auto"/>
          <w:sz w:val="32"/>
          <w:szCs w:val="32"/>
          <w:shd w:val="clear" w:color="auto" w:fill="FFFFFF"/>
          <w:lang w:eastAsia="zh-CN"/>
        </w:rPr>
        <w:t>参与</w:t>
      </w:r>
      <w:r>
        <w:rPr>
          <w:rFonts w:ascii="仿宋_GB2312" w:eastAsia="仿宋_GB2312" w:cs="仿宋"/>
          <w:color w:val="auto"/>
          <w:sz w:val="32"/>
          <w:szCs w:val="32"/>
          <w:shd w:val="clear" w:color="auto" w:fill="FFFFFF"/>
          <w:lang w:eastAsia="zh-CN"/>
        </w:rPr>
        <w:t>政策实施的</w:t>
      </w:r>
      <w:r>
        <w:rPr>
          <w:rFonts w:ascii="仿宋_GB2312" w:eastAsia="仿宋_GB2312" w:cs="仿宋" w:hint="eastAsia"/>
          <w:color w:val="auto"/>
          <w:sz w:val="32"/>
          <w:szCs w:val="32"/>
          <w:shd w:val="clear" w:color="auto" w:fill="FFFFFF"/>
          <w:lang w:eastAsia="zh-CN"/>
        </w:rPr>
        <w:t>商户</w:t>
      </w:r>
      <w:r>
        <w:rPr>
          <w:rFonts w:ascii="仿宋_GB2312" w:eastAsia="仿宋_GB2312" w:cs="仿宋" w:hint="eastAsia"/>
          <w:bCs/>
          <w:color w:val="auto"/>
          <w:sz w:val="32"/>
          <w:szCs w:val="32"/>
        </w:rPr>
        <w:t>结算时</w:t>
      </w:r>
      <w:r>
        <w:rPr>
          <w:rFonts w:ascii="仿宋_GB2312" w:eastAsia="仿宋_GB2312" w:cs="仿宋"/>
          <w:bCs/>
          <w:color w:val="auto"/>
          <w:sz w:val="32"/>
          <w:szCs w:val="32"/>
        </w:rPr>
        <w:t>，</w:t>
      </w:r>
      <w:r>
        <w:rPr>
          <w:rFonts w:ascii="仿宋_GB2312" w:eastAsia="仿宋_GB2312" w:cs="仿宋" w:hint="eastAsia"/>
          <w:bCs/>
          <w:color w:val="000000"/>
          <w:sz w:val="32"/>
          <w:szCs w:val="32"/>
        </w:rPr>
        <w:t>出示云闪付APP付款码，或使用绑定在云闪付APP内的银行卡刷卡核销，系统自动实现85折优惠。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Chars="200" w:firstLine="640"/>
        <w:textAlignment w:val="auto"/>
        <w:rPr>
          <w:rFonts w:ascii="仿宋_GB2312" w:eastAsia="仿宋_GB2312" w:cs="仿宋" w:hint="eastAsia"/>
          <w:bCs/>
          <w:color w:val="000000"/>
          <w:sz w:val="32"/>
          <w:szCs w:val="32"/>
        </w:rPr>
      </w:pPr>
      <w:r>
        <w:rPr>
          <w:rFonts w:ascii="仿宋_GB2312" w:eastAsia="仿宋_GB2312" w:cs="仿宋"/>
          <w:bCs/>
          <w:color w:val="000000"/>
          <w:sz w:val="32"/>
          <w:szCs w:val="32"/>
        </w:rPr>
        <w:t>3</w:t>
      </w:r>
      <w:r>
        <w:rPr>
          <w:rFonts w:ascii="仿宋_GB2312" w:eastAsia="仿宋_GB2312" w:cs="仿宋" w:hint="eastAsia"/>
          <w:bCs/>
          <w:color w:val="000000"/>
          <w:sz w:val="32"/>
          <w:szCs w:val="32"/>
        </w:rPr>
        <w:t>.如出现撤销、退货情况，应由销售</w:t>
      </w:r>
      <w:r>
        <w:rPr>
          <w:rFonts w:ascii="仿宋_GB2312" w:eastAsia="仿宋_GB2312" w:cs="仿宋"/>
          <w:bCs/>
          <w:color w:val="000000"/>
          <w:sz w:val="32"/>
          <w:szCs w:val="32"/>
        </w:rPr>
        <w:t>商户</w:t>
      </w:r>
      <w:r>
        <w:rPr>
          <w:rFonts w:ascii="仿宋_GB2312" w:eastAsia="仿宋_GB2312" w:cs="仿宋" w:hint="eastAsia"/>
          <w:bCs/>
          <w:color w:val="000000"/>
          <w:sz w:val="32"/>
          <w:szCs w:val="32"/>
        </w:rPr>
        <w:t>按原支付路径完成退货流程，该次补贴资格视为已使用，不可再次享受政府补贴。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60" w:lineRule="exact"/>
        <w:rPr>
          <w:rFonts w:ascii="黑体" w:eastAsia="黑体" w:hint="eastAsia"/>
          <w:color w:val="000000"/>
          <w:sz w:val="32"/>
          <w:szCs w:val="32"/>
          <w:highlight w:val="auto"/>
        </w:rPr>
      </w:pPr>
      <w:r>
        <w:rPr>
          <w:rFonts w:ascii="仿宋_GB2312" w:eastAsia="仿宋_GB2312" w:cs="仿宋" w:hint="eastAsia"/>
          <w:bCs/>
          <w:color w:val="000000"/>
          <w:sz w:val="32"/>
          <w:szCs w:val="32"/>
          <w:lang w:val="en-US" w:eastAsia="zh-CN" w:bidi="ar-SA"/>
        </w:rPr>
        <w:t xml:space="preserve">    </w:t>
      </w:r>
      <w:r>
        <w:rPr>
          <w:rFonts w:ascii="黑体" w:eastAsia="黑体"/>
          <w:color w:val="000000"/>
          <w:sz w:val="32"/>
          <w:szCs w:val="32"/>
          <w:lang w:eastAsia="zh-CN"/>
          <w:highlight w:val="auto"/>
        </w:rPr>
        <w:t>六</w:t>
      </w:r>
      <w:r>
        <w:rPr>
          <w:rFonts w:ascii="黑体" w:eastAsia="黑体" w:hint="eastAsia"/>
          <w:color w:val="000000"/>
          <w:sz w:val="32"/>
          <w:szCs w:val="32"/>
          <w:highlight w:val="auto"/>
        </w:rPr>
        <w:t>、实施主体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楷体" w:eastAsia="楷体" w:cs="楷体" w:hint="eastAsia"/>
          <w:color w:val="000000"/>
          <w:sz w:val="32"/>
          <w:szCs w:val="32"/>
          <w:lang w:val="en-US" w:eastAsia="zh-CN" w:bidi="ar-SA"/>
          <w:highlight w:val="auto"/>
        </w:rPr>
      </w:pPr>
      <w:r>
        <w:rPr>
          <w:rFonts w:ascii="楷体" w:eastAsia="楷体" w:cs="楷体" w:hint="eastAsia"/>
          <w:color w:val="000000"/>
          <w:sz w:val="32"/>
          <w:szCs w:val="32"/>
          <w:lang w:val="en-US" w:eastAsia="zh-CN" w:bidi="ar-SA"/>
          <w:highlight w:val="auto"/>
        </w:rPr>
        <w:t>(一)基本条件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contextualSpacing w:val="0"/>
        <w:textAlignment w:val="auto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遴选确定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highlight w:val="auto"/>
        </w:rPr>
        <w:t>的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参与政策实施商户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highlight w:val="auto"/>
        </w:rPr>
        <w:t>应具备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以下基本条件: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bCs/>
          <w:color w:val="000000"/>
          <w:sz w:val="32"/>
          <w:szCs w:val="32"/>
          <w:shd w:val="clear" w:color="auto" w:fill="FFFFFF"/>
          <w:lang w:bidi="ar-SA"/>
          <w:highlight w:val="auto"/>
        </w:rPr>
      </w:pPr>
      <w:r>
        <w:rPr>
          <w:rFonts w:ascii="仿宋_GB2312" w:eastAsia="仿宋_GB2312" w:cs="仿宋" w:hint="eastAsia"/>
          <w:bCs/>
          <w:color w:val="000000"/>
          <w:sz w:val="32"/>
          <w:szCs w:val="32"/>
          <w:shd w:val="clear" w:color="auto" w:fill="FFFFFF"/>
          <w:lang w:eastAsia="zh-CN" w:bidi="ar-SA"/>
          <w:highlight w:val="auto"/>
        </w:rPr>
        <w:t>1</w:t>
      </w:r>
      <w:r>
        <w:rPr>
          <w:rFonts w:ascii="仿宋_GB2312" w:eastAsia="仿宋_GB2312" w:cs="仿宋" w:hint="eastAsia"/>
          <w:bCs/>
          <w:color w:val="000000"/>
          <w:sz w:val="32"/>
          <w:szCs w:val="32"/>
          <w:shd w:val="clear" w:color="auto" w:fill="FFFFFF"/>
          <w:lang w:bidi="ar-SA"/>
          <w:highlight w:val="auto"/>
        </w:rPr>
        <w:t>.</w:t>
      </w:r>
      <w:r>
        <w:rPr>
          <w:rFonts w:ascii="仿宋_GB2312" w:eastAsia="仿宋_GB2312" w:cs="仿宋" w:hint="eastAsia"/>
          <w:b w:val="0"/>
          <w:bCs/>
          <w:color w:val="000000"/>
          <w:sz w:val="32"/>
          <w:szCs w:val="32"/>
          <w:shd w:val="clear" w:color="auto" w:fill="FFFFFF"/>
          <w:lang w:bidi="ar-SA"/>
          <w:highlight w:val="auto"/>
        </w:rPr>
        <w:t>依法注册的限上</w:t>
      </w:r>
      <w:r>
        <w:rPr>
          <w:rFonts w:ascii="仿宋_GB2312" w:eastAsia="仿宋_GB2312" w:cs="仿宋" w:hint="eastAsia"/>
          <w:bCs/>
          <w:color w:val="000000"/>
          <w:sz w:val="32"/>
          <w:szCs w:val="32"/>
          <w:shd w:val="clear" w:color="auto" w:fill="FFFFFF"/>
          <w:lang w:bidi="ar-SA"/>
          <w:highlight w:val="auto"/>
        </w:rPr>
        <w:t>企业、近限培育企业和限下样本企业。</w:t>
      </w:r>
      <w:r>
        <w:rPr>
          <w:rFonts w:ascii="仿宋_GB2312" w:eastAsia="仿宋_GB2312" w:cs="仿宋"/>
          <w:bCs/>
          <w:color w:val="000000"/>
          <w:sz w:val="32"/>
          <w:szCs w:val="32"/>
          <w:shd w:val="clear" w:color="auto" w:fill="FFFFFF"/>
          <w:lang w:bidi="ar-SA"/>
          <w:highlight w:val="auto"/>
        </w:rPr>
        <w:t>其中，</w:t>
      </w:r>
      <w:r>
        <w:rPr>
          <w:rFonts w:ascii="仿宋_GB2312" w:eastAsia="仿宋_GB2312" w:cs="仿宋" w:hint="eastAsia"/>
          <w:bCs/>
          <w:color w:val="000000"/>
          <w:sz w:val="32"/>
          <w:szCs w:val="32"/>
          <w:shd w:val="clear" w:color="auto" w:fill="FFFFFF"/>
          <w:lang w:bidi="ar-SA"/>
          <w:highlight w:val="auto"/>
        </w:rPr>
        <w:t>近限培育企业（含大个体）应为经营稳定，年内有望达限入统的销售主体。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2.具备完善的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 w:bidi="ar-SA"/>
          <w:highlight w:val="auto"/>
        </w:rPr>
        <w:t>商品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送货、安装、调试、维修等综合服务能力。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  <w:highlight w:val="auto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 w:bidi="ar-SA"/>
          <w:highlight w:val="auto"/>
        </w:rPr>
        <w:t>3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 w:bidi="ar-SA"/>
          <w:highlight w:val="auto"/>
        </w:rPr>
        <w:t>.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具有记录、统计有关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 w:bidi="ar-SA"/>
          <w:highlight w:val="auto"/>
        </w:rPr>
        <w:t>销售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信息的能力，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bidi="ar-SA"/>
          <w:highlight w:val="auto"/>
        </w:rPr>
        <w:t>能够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 w:bidi="ar-SA"/>
          <w:highlight w:val="auto"/>
        </w:rPr>
        <w:t>按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val="en-US" w:eastAsia="zh-CN" w:bidi="ar-SA"/>
          <w:highlight w:val="auto"/>
        </w:rPr>
        <w:t>本地区商务主管部门要求报送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相关材料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（纸质或电子）。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highlight w:val="auto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highlight w:val="auto"/>
        </w:rPr>
        <w:t>4.未列入严重违法失信名单，未被“信用中国”网站列为失信被执行人。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5.承诺活动期间按照商务部门要求制作和张贴相关宣传资料；承诺制作和张贴参与商品标价牌，标明政府补贴优惠等信息；承诺主动接受有关部门及社会监督。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楷体" w:eastAsia="楷体" w:cs="仿宋" w:hint="eastAsia"/>
          <w:color w:val="000000"/>
          <w:sz w:val="32"/>
          <w:szCs w:val="32"/>
          <w:lang w:bidi="ar-SA"/>
          <w:highlight w:val="auto"/>
        </w:rPr>
      </w:pPr>
      <w:r>
        <w:rPr>
          <w:rFonts w:ascii="楷体" w:eastAsia="楷体" w:cs="仿宋" w:hint="eastAsia"/>
          <w:color w:val="000000"/>
          <w:sz w:val="32"/>
          <w:szCs w:val="32"/>
          <w:lang w:bidi="ar-SA"/>
          <w:highlight w:val="auto"/>
        </w:rPr>
        <w:t>（</w:t>
      </w:r>
      <w:r>
        <w:rPr>
          <w:rFonts w:ascii="楷体" w:eastAsia="楷体" w:cs="仿宋" w:hint="eastAsia"/>
          <w:color w:val="000000"/>
          <w:sz w:val="32"/>
          <w:szCs w:val="32"/>
          <w:lang w:val="en-US" w:eastAsia="zh-CN" w:bidi="ar-SA"/>
          <w:highlight w:val="auto"/>
        </w:rPr>
        <w:t>二</w:t>
      </w:r>
      <w:r>
        <w:rPr>
          <w:rFonts w:ascii="楷体" w:eastAsia="楷体" w:cs="仿宋" w:hint="eastAsia"/>
          <w:color w:val="000000"/>
          <w:sz w:val="32"/>
          <w:szCs w:val="32"/>
          <w:lang w:bidi="ar-SA"/>
          <w:highlight w:val="auto"/>
        </w:rPr>
        <w:t>）监督管理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参与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政策实施商户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应当遵守有关法律法规和本《细则》相关规定，有以下行为之一的，各地区可取消其参与资格：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1.以任何形式骗取套取补贴资金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bidi="ar-SA"/>
        </w:rPr>
        <w:t>的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2.虚标价格、变相涨价的。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3.销售假货、以次充好，强制捆绑销售的。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4.消费者投诉问题突出，经查证属实的。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bidi="ar-SA"/>
          <w:highlight w:val="auto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5.以各种理由限定购买人消费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bidi="ar-SA"/>
          <w:highlight w:val="auto"/>
        </w:rPr>
        <w:t>的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（如：限定购买人选择品牌、种类、规格等）。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</w:rPr>
        <w:t>其它违反法律法规行为的。</w:t>
      </w:r>
    </w:p>
    <w:p>
      <w:pPr>
        <w:tabs>
          <w:tab w:val="left" w:pos="1560"/>
        </w:tabs>
        <w:adjustRightInd w:val="0"/>
        <w:snapToGrid w:val="0"/>
        <w:spacing w:line="560" w:lineRule="exact"/>
        <w:ind w:left="0" w:firstLineChars="200" w:firstLine="640"/>
        <w:contextualSpacing w:val="0"/>
        <w:jc w:val="left"/>
        <w:rPr>
          <w:rFonts w:ascii="黑体" w:eastAsia="黑体" w:hint="eastAsia"/>
          <w:color w:val="000000"/>
          <w:sz w:val="32"/>
          <w:szCs w:val="32"/>
          <w:highlight w:val="auto"/>
        </w:rPr>
      </w:pPr>
      <w:r>
        <w:rPr>
          <w:rFonts w:ascii="黑体" w:eastAsia="黑体"/>
          <w:color w:val="000000"/>
          <w:sz w:val="32"/>
          <w:szCs w:val="32"/>
          <w:highlight w:val="auto"/>
        </w:rPr>
        <w:t>七</w:t>
      </w:r>
      <w:r>
        <w:rPr>
          <w:rFonts w:ascii="黑体" w:eastAsia="黑体" w:hint="eastAsia"/>
          <w:color w:val="000000"/>
          <w:sz w:val="32"/>
          <w:szCs w:val="32"/>
          <w:highlight w:val="auto"/>
        </w:rPr>
        <w:t>、职责</w:t>
      </w:r>
      <w:r>
        <w:rPr>
          <w:rFonts w:ascii="黑体" w:eastAsia="黑体" w:hint="eastAsia"/>
          <w:color w:val="000000"/>
          <w:sz w:val="32"/>
          <w:szCs w:val="32"/>
          <w:lang w:val="en-US" w:eastAsia="zh-CN"/>
          <w:highlight w:val="auto"/>
        </w:rPr>
        <w:t>分工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省商务厅负责制定和解读本《细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则》，向省发改委报送各地区补贴资金规模，并对各地区实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施效果进行考核评估。</w:t>
      </w:r>
    </w:p>
    <w:p>
      <w:pPr>
        <w:pStyle w:val="33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各地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商务主管部门负责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本《细则》具体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组织实施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负责通过公开征集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、条件审核等方式，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遴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选确定参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与活动商户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负责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会同有关部门采取现场检查、暗访等方式加强监督，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eastAsia="zh-CN"/>
        </w:rPr>
        <w:t>可委托第三方机构对补贴发放全流程进行监督审计，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严厉打击骗补套补、价格欺诈等违法违规行为；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负责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对参与政策实施商户开展数据监测，动态掌握资金使用情况和各类产品销售数据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;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负责对本地区政策实施效果进行评估；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负责活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 w:bidi="ar-SA"/>
        </w:rPr>
        <w:t>动宣传推广，设立电话咨询热线，及时回应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eastAsia="zh-CN" w:bidi="ar-SA"/>
        </w:rPr>
        <w:t>社会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 w:bidi="ar-SA"/>
        </w:rPr>
        <w:t>关切。</w:t>
      </w:r>
    </w:p>
    <w:p>
      <w:pPr>
        <w:pStyle w:val="34"/>
        <w:adjustRightInd w:val="0"/>
        <w:snapToGrid w:val="0"/>
        <w:spacing w:line="560" w:lineRule="exact"/>
        <w:ind w:left="0"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cs="黑体"/>
          <w:color w:val="000000"/>
          <w:kern w:val="2"/>
          <w:sz w:val="32"/>
          <w:szCs w:val="32"/>
          <w:lang w:eastAsia="zh-CN" w:bidi="ar-SA"/>
        </w:rPr>
        <w:t>八</w:t>
      </w:r>
      <w:r>
        <w:rPr>
          <w:rFonts w:ascii="黑体" w:eastAsia="黑体" w:cs="黑体" w:hint="eastAsia"/>
          <w:color w:val="000000"/>
          <w:sz w:val="32"/>
          <w:szCs w:val="32"/>
          <w:lang w:bidi="ar-SA"/>
        </w:rPr>
        <w:t>、</w:t>
      </w:r>
      <w:r>
        <w:rPr>
          <w:rFonts w:ascii="黑体" w:eastAsia="黑体" w:hint="eastAsia"/>
          <w:color w:val="000000"/>
          <w:sz w:val="32"/>
          <w:szCs w:val="32"/>
        </w:rPr>
        <w:t>有关要求</w:t>
      </w:r>
    </w:p>
    <w:p>
      <w:pPr>
        <w:tabs>
          <w:tab w:val="left" w:pos="1560"/>
        </w:tabs>
        <w:adjustRightInd w:val="0"/>
        <w:snapToGrid w:val="0"/>
        <w:spacing w:line="560" w:lineRule="exact"/>
        <w:ind w:left="0" w:firstLineChars="200" w:firstLine="640"/>
        <w:contextualSpacing w:val="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bidi="ar-SA"/>
        </w:rPr>
      </w:pPr>
      <w:r>
        <w:rPr>
          <w:rFonts w:ascii="楷体" w:eastAsia="楷体" w:cs="仿宋" w:hint="eastAsia"/>
          <w:color w:val="000000"/>
          <w:sz w:val="32"/>
          <w:szCs w:val="32"/>
          <w:lang w:bidi="ar-SA"/>
        </w:rPr>
        <w:t>（一）加强组织领导</w:t>
      </w:r>
      <w:r>
        <w:rPr>
          <w:rFonts w:ascii="楷体" w:eastAsia="楷体" w:cs="仿宋" w:hint="eastAsia"/>
          <w:color w:val="000000"/>
          <w:sz w:val="32"/>
          <w:szCs w:val="32"/>
          <w:lang w:eastAsia="zh-CN" w:bidi="ar-SA"/>
        </w:rPr>
        <w:t>。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各地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bidi="ar-SA"/>
        </w:rPr>
        <w:t>区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商务主管部门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bidi="ar-SA"/>
        </w:rPr>
        <w:t>要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高度重视，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bidi="ar-SA"/>
        </w:rPr>
        <w:t>将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支持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bidi="ar-SA"/>
        </w:rPr>
        <w:t>家装家居产品换新工作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作为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bidi="ar-SA"/>
        </w:rPr>
        <w:t>提振消费的重要举措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，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bidi="ar-SA"/>
        </w:rPr>
        <w:t>建立工作机制，统筹协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/>
        </w:rPr>
        <w:t>调推进，解决遇到问题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要会同财政部门</w:t>
      </w:r>
      <w:r>
        <w:rPr>
          <w:rFonts w:ascii="仿宋_GB2312" w:eastAsia="仿宋_GB2312" w:cs="仿宋"/>
          <w:color w:val="000000"/>
          <w:sz w:val="32"/>
          <w:szCs w:val="32"/>
          <w:shd w:val="clear" w:color="auto" w:fill="FFFFFF"/>
          <w:lang w:bidi="ar-SA"/>
        </w:rPr>
        <w:t>对补贴资金实施专账管理，按照国库集中支付管理制度有关规定，支付到最终消费者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bidi="ar-SA"/>
        </w:rPr>
        <w:t>，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确保补贴政策直达快享。</w:t>
      </w:r>
    </w:p>
    <w:p>
      <w:pPr>
        <w:pStyle w:val="35"/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</w:pPr>
      <w:r>
        <w:rPr>
          <w:rFonts w:ascii="楷体" w:eastAsia="楷体" w:cs="仿宋" w:hint="eastAsia"/>
          <w:color w:val="000000"/>
          <w:sz w:val="32"/>
          <w:szCs w:val="32"/>
          <w:lang w:val="en-US" w:eastAsia="zh-CN" w:bidi="ar-SA"/>
        </w:rPr>
        <w:t>（二）</w:t>
      </w:r>
      <w:r>
        <w:rPr>
          <w:rFonts w:ascii="楷体" w:eastAsia="楷体" w:cs="仿宋" w:hint="eastAsia"/>
          <w:color w:val="000000"/>
          <w:sz w:val="32"/>
          <w:szCs w:val="32"/>
          <w:lang w:bidi="ar-SA"/>
        </w:rPr>
        <w:t>强化宣传解读</w:t>
      </w:r>
      <w:r>
        <w:rPr>
          <w:rFonts w:ascii="楷体" w:eastAsia="楷体" w:cs="仿宋" w:hint="eastAsia"/>
          <w:color w:val="000000"/>
          <w:sz w:val="32"/>
          <w:szCs w:val="32"/>
          <w:lang w:eastAsia="zh-CN" w:bidi="ar-SA"/>
        </w:rPr>
        <w:t>。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要</w:t>
      </w:r>
      <w:r>
        <w:rPr>
          <w:rFonts w:ascii="仿宋_GB2312" w:eastAsia="仿宋_GB2312" w:cs="仿宋" w:hint="eastAsia"/>
          <w:color w:val="000000"/>
          <w:kern w:val="2"/>
          <w:sz w:val="32"/>
          <w:szCs w:val="32"/>
          <w:u w:val="none"/>
          <w:shd w:val="clear" w:color="auto" w:fill="FFFFFF"/>
          <w:lang w:bidi="ar-SA"/>
        </w:rPr>
        <w:t>开展“以旧换新进万家 “焕”出美好新生活”的主题宣传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，</w:t>
      </w:r>
      <w:r>
        <w:rPr>
          <w:rFonts w:ascii="仿宋_GB2312" w:eastAsia="仿宋_GB2312" w:cs="仿宋" w:hint="eastAsia"/>
          <w:color w:val="000000"/>
          <w:kern w:val="2"/>
          <w:sz w:val="32"/>
          <w:szCs w:val="32"/>
          <w:u w:val="none"/>
          <w:shd w:val="clear" w:color="auto" w:fill="FFFFFF"/>
          <w:lang w:bidi="ar-SA"/>
        </w:rPr>
        <w:t>利用主流、新兴和自媒体，全渠道组织政策宣传。开展“给消费者的一封信”行动，广泛发动街道干部职工、社区和物业工作人员，利用横幅标语、宣传海报、业主群、朋友圈等渠道“送信上门”，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扩大政策影响力和覆盖面。</w:t>
      </w:r>
    </w:p>
    <w:p>
      <w:pPr>
        <w:tabs>
          <w:tab w:val="left" w:pos="1560"/>
        </w:tabs>
        <w:adjustRightInd w:val="0"/>
        <w:snapToGrid w:val="0"/>
        <w:spacing w:line="560" w:lineRule="exact"/>
        <w:ind w:left="0" w:firstLineChars="200" w:firstLine="640"/>
        <w:contextualSpacing w:val="0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highlight w:val="auto"/>
        </w:rPr>
      </w:pPr>
      <w:r>
        <w:rPr>
          <w:rFonts w:ascii="楷体" w:eastAsia="楷体" w:cs="仿宋" w:hint="eastAsia"/>
          <w:color w:val="000000"/>
          <w:sz w:val="32"/>
          <w:szCs w:val="32"/>
          <w:lang w:bidi="ar-SA"/>
          <w:highlight w:val="auto"/>
        </w:rPr>
        <w:t>（三）</w:t>
      </w:r>
      <w:r>
        <w:rPr>
          <w:rFonts w:ascii="楷体" w:eastAsia="楷体" w:cs="仿宋" w:hint="eastAsia"/>
          <w:color w:val="000000"/>
          <w:sz w:val="32"/>
          <w:szCs w:val="32"/>
          <w:lang w:val="en-US" w:eastAsia="zh-CN" w:bidi="ar-SA"/>
          <w:highlight w:val="auto"/>
        </w:rPr>
        <w:t>严格监督管控</w:t>
      </w:r>
      <w:r>
        <w:rPr>
          <w:rFonts w:ascii="楷体" w:eastAsia="楷体" w:cs="仿宋" w:hint="eastAsia"/>
          <w:color w:val="000000"/>
          <w:sz w:val="32"/>
          <w:szCs w:val="32"/>
          <w:lang w:eastAsia="zh-CN" w:bidi="ar-SA"/>
          <w:highlight w:val="auto"/>
        </w:rPr>
        <w:t>。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各地商务主管部门会同财政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等有关部门加强政策实施的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监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管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实时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掌握动态，汇总销售数据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  <w:t>建立周报告制度，及时反馈工作进展和成效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highlight w:val="auto"/>
        </w:rPr>
        <w:t>。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各地区商务主管部门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应于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4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12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15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前报送相关总结材料，并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商发改、财政部门于2025年1月20日前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报送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val="en-US" w:eastAsia="zh-CN"/>
        </w:rPr>
        <w:t>补贴资金清算情况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5"/>
        <w:adjustRightInd w:val="0"/>
        <w:snapToGrid w:val="0"/>
        <w:spacing w:line="560" w:lineRule="exact"/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 xml:space="preserve">    本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 w:bidi="ar-SA"/>
          <w:highlight w:val="auto"/>
        </w:rPr>
        <w:t>《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细则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eastAsia="zh-CN" w:bidi="ar-SA"/>
          <w:highlight w:val="auto"/>
        </w:rPr>
        <w:t>》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由省商务厅负责解释，并根据政策实施情况适时调整。各地区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可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  <w:highlight w:val="auto"/>
        </w:rPr>
        <w:t>依据本《细则》，结合实际</w:t>
      </w:r>
      <w:r>
        <w:rPr>
          <w:rFonts w:ascii="仿宋_GB2312" w:eastAsia="仿宋_GB2312" w:cs="仿宋" w:hint="eastAsia"/>
          <w:color w:val="000000"/>
          <w:sz w:val="32"/>
          <w:szCs w:val="32"/>
          <w:shd w:val="clear" w:color="auto" w:fill="FFFFFF"/>
          <w:lang w:bidi="ar-SA"/>
        </w:rPr>
        <w:t>制定本地实施细则。</w:t>
      </w:r>
    </w:p>
    <w:sectPr>
      <w:footerReference w:type="default" r:id="rId2"/>
      <w:footerReference w:type="even" r:id="rId3"/>
      <w:footerReference w:type="first" r:id="rId4"/>
      <w:pgSz w:w="11907" w:h="16840"/>
      <w:pgMar w:top="2098" w:right="1474" w:bottom="1985" w:left="1588" w:header="851" w:footer="992" w:gutter="0"/>
      <w:pgNumType/>
      <w:docGrid w:type="lines" w:linePitch="312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CESI宋体-GB13000">
    <w:altName w:val="方正书宋_GBK"/>
    <w:panose1 w:val="02000500000000000000"/>
    <w:charset w:val="86"/>
    <w:family w:val="script"/>
    <w:pitch w:val="variable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  <w:font w:name="Calibri">
    <w:altName w:val="微软雅黑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sz w:val="24"/>
        <w:szCs w:val="24"/>
      </w:rPr>
    </w:pPr>
    <w:r>
      <w:rPr>
        <w:rStyle w:val="29"/>
        <w:sz w:val="24"/>
        <w:szCs w:val="24"/>
      </w:rPr>
      <w:fldChar w:fldCharType="begin"/>
    </w:r>
    <w:r>
      <w:rPr>
        <w:rStyle w:val="29"/>
        <w:sz w:val="24"/>
        <w:szCs w:val="24"/>
      </w:rPr>
      <w:instrText>Page</w:instrText>
    </w:r>
    <w:r>
      <w:rPr>
        <w:rStyle w:val="29"/>
        <w:sz w:val="24"/>
        <w:szCs w:val="24"/>
      </w:rPr>
      <w:fldChar w:fldCharType="separate"/>
    </w:r>
    <w:r>
      <w:rPr>
        <w:rStyle w:val="29"/>
        <w:sz w:val="24"/>
        <w:szCs w:val="24"/>
      </w:rPr>
      <w:t>1</w:t>
    </w:r>
    <w:r>
      <w:rPr>
        <w:rStyle w:val="29"/>
        <w:sz w:val="24"/>
        <w:szCs w:val="24"/>
      </w:rPr>
      <w:fldChar w:fldCharType="end"/>
    </w:r>
  </w:p>
  <w:p>
    <w:pPr>
      <w:pStyle w:val="23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9"/>
      </w:rPr>
      <w:fldChar w:fldCharType="begin"/>
    </w:r>
    <w:r>
      <w:rPr>
        <w:rStyle w:val="29"/>
      </w:rPr>
      <w:instrText>Page</w:instrText>
    </w:r>
    <w:r>
      <w:rPr>
        <w:rStyle w:val="29"/>
      </w:rPr>
      <w:fldChar w:fldCharType="separate"/>
    </w:r>
    <w:r>
      <w:rPr>
        <w:rStyle w:val="29"/>
      </w:rPr>
      <w:t>1</w:t>
    </w:r>
    <w:r>
      <w:rPr>
        <w:rStyle w:val="29"/>
      </w:rPr>
      <w:fldChar w:fldCharType="end"/>
    </w:r>
  </w:p>
  <w:p>
    <w:pPr>
      <w:pStyle w:val="2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9"/>
      </w:rPr>
      <w:fldChar w:fldCharType="begin"/>
    </w:r>
    <w:r>
      <w:rPr>
        <w:rStyle w:val="29"/>
      </w:rPr>
      <w:instrText>Page</w:instrText>
    </w:r>
    <w:r>
      <w:rPr>
        <w:rStyle w:val="29"/>
      </w:rPr>
      <w:fldChar w:fldCharType="separate"/>
    </w:r>
    <w:r>
      <w:rPr>
        <w:rStyle w:val="29"/>
      </w:rPr>
      <w:t>1</w:t>
    </w:r>
    <w:r>
      <w:rPr>
        <w:rStyle w:val="29"/>
      </w:rPr>
      <w:fldChar w:fldCharType="end"/>
    </w:r>
  </w:p>
  <w:p>
    <w:pPr>
      <w:pStyle w:val="23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9"/>
      </w:rPr>
      <w:fldChar w:fldCharType="begin"/>
    </w:r>
    <w:r>
      <w:rPr>
        <w:rStyle w:val="29"/>
      </w:rPr>
      <w:instrText>Page</w:instrText>
    </w:r>
    <w:r>
      <w:rPr>
        <w:rStyle w:val="29"/>
      </w:rPr>
      <w:fldChar w:fldCharType="separate"/>
    </w:r>
    <w:r>
      <w:rPr>
        <w:rStyle w:val="29"/>
      </w:rPr>
      <w:t>1</w:t>
    </w:r>
    <w:r>
      <w:rPr>
        <w:rStyle w:val="29"/>
      </w:rPr>
      <w:fldChar w:fldCharType="end"/>
    </w:r>
  </w:p>
  <w:p>
    <w:pPr>
      <w:pStyle w:val="23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CA1FE5EE"/>
    <w:multiLevelType w:val="singleLevel"/>
    <w:tmpl w:val="CA1FE5EE"/>
    <w:lvl w:ilvl="0">
      <w:start w:val="1"/>
      <w:numFmt w:val="bullet"/>
      <w:lvlRestart w:val="0"/>
      <w:pStyle w:val="18"/>
      <w:lvlText w:val="●"/>
      <w:lvlJc w:val="left"/>
      <w:pPr>
        <w:tabs>
          <w:tab w:val="num" w:pos="0"/>
        </w:tabs>
        <w:ind w:left="360" w:hanging="360"/>
      </w:pPr>
      <w:rPr>
        <w:rFonts w:ascii="等线" w:hAnsi="等线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oNotDisplayPageBoundarie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  <w:docVars>
    <w:docVar w:name="commondata" w:val="eyJoZGlkIjoiMmM3YmU5MzdmZjQ5ODg5NzFjZThkMjBkZDc0NjcxZj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E-mail Signature"/>
    <w:basedOn w:val="0"/>
  </w:style>
  <w:style w:type="paragraph" w:styleId="16">
    <w:name w:val="Normal Indent"/>
    <w:next w:val="17"/>
    <w:pPr>
      <w:widowControl w:val="0"/>
      <w:ind w:firstLine="420"/>
      <w:jc w:val="both"/>
    </w:pPr>
    <w:rPr>
      <w:rFonts w:ascii="等线" w:eastAsia="等线" w:cs="黑体"/>
      <w:kern w:val="2"/>
      <w:sz w:val="21"/>
      <w:szCs w:val="22"/>
      <w:lang w:val="en-US" w:eastAsia="zh-CN" w:bidi="ar-SA"/>
    </w:rPr>
  </w:style>
  <w:style w:type="paragraph" w:customStyle="1" w:styleId="17">
    <w:name w:val="样式1"/>
    <w:basedOn w:val="0"/>
    <w:rPr>
      <w:b/>
      <w:color w:val="538135"/>
      <w:sz w:val="28"/>
    </w:rPr>
  </w:style>
  <w:style w:type="paragraph" w:styleId="18">
    <w:name w:val="List Bullet"/>
    <w:basedOn w:val="0"/>
    <w:pPr>
      <w:numPr>
        <w:ilvl w:val="0"/>
        <w:numId w:val="1"/>
      </w:numPr>
    </w:pPr>
  </w:style>
  <w:style w:type="paragraph" w:styleId="19">
    <w:name w:val="toa heading"/>
    <w:basedOn w:val="0"/>
    <w:next w:val="0"/>
    <w:pPr>
      <w:spacing w:before="120"/>
    </w:pPr>
    <w:rPr>
      <w:rFonts w:ascii="Luxi Sans" w:hAnsi="Luxi Sans"/>
      <w:sz w:val="24"/>
    </w:rPr>
  </w:style>
  <w:style w:type="paragraph" w:styleId="20">
    <w:name w:val="annotation text"/>
    <w:pPr>
      <w:widowControl w:val="0"/>
      <w:jc w:val="left"/>
    </w:pPr>
    <w:rPr>
      <w:rFonts w:ascii="等线" w:eastAsia="等线" w:cs="黑体"/>
      <w:kern w:val="2"/>
      <w:sz w:val="21"/>
      <w:szCs w:val="22"/>
      <w:lang w:val="en-US" w:eastAsia="zh-CN" w:bidi="ar-SA"/>
    </w:rPr>
  </w:style>
  <w:style w:type="paragraph" w:styleId="21">
    <w:name w:val="List Continue"/>
    <w:basedOn w:val="0"/>
    <w:pPr>
      <w:spacing w:after="120"/>
      <w:ind w:left="420"/>
    </w:pPr>
  </w:style>
  <w:style w:type="paragraph" w:styleId="22">
    <w:name w:val="endnote text"/>
    <w:basedOn w:val="0"/>
    <w:pPr>
      <w:adjustRightInd/>
      <w:snapToGrid w:val="0"/>
      <w:contextualSpacing w:val="0"/>
      <w:jc w:val="left"/>
    </w:pPr>
  </w:style>
  <w:style w:type="paragraph" w:styleId="23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等线" w:eastAsia="等线" w:cs="黑体"/>
      <w:kern w:val="2"/>
      <w:sz w:val="18"/>
      <w:szCs w:val="22"/>
      <w:lang w:val="en-US" w:eastAsia="zh-CN" w:bidi="ar-SA"/>
    </w:rPr>
  </w:style>
  <w:style w:type="paragraph" w:styleId="24">
    <w:name w:val="List"/>
    <w:basedOn w:val="0"/>
    <w:pPr>
      <w:ind w:left="420" w:hanging="420"/>
    </w:pPr>
  </w:style>
  <w:style w:type="paragraph" w:styleId="25">
    <w:name w:val="List 4"/>
    <w:basedOn w:val="0"/>
    <w:pPr>
      <w:ind w:left="1680" w:hanging="420"/>
    </w:pPr>
  </w:style>
  <w:style w:type="paragraph" w:styleId="26">
    <w:name w:val="HTML Preformatted"/>
    <w:next w:val="15"/>
    <w:pPr>
      <w:widowControl w:val="0"/>
      <w:spacing w:before="100" w:beforeAutospacing="1" w:after="100" w:afterAutospacing="1" w:line="240" w:lineRule="auto"/>
      <w:jc w:val="left"/>
    </w:pPr>
    <w:rPr>
      <w:rFonts w:ascii="Courier New" w:eastAsia="宋体" w:cs="Times New Roman" w:hAnsi="Courier New"/>
      <w:kern w:val="2"/>
      <w:sz w:val="20"/>
      <w:szCs w:val="21"/>
      <w:lang w:val="en-US" w:eastAsia="zh-CN" w:bidi="ar-SA"/>
    </w:rPr>
  </w:style>
  <w:style w:type="paragraph" w:styleId="2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28">
    <w:name w:val="annotation subject"/>
    <w:next w:val="20"/>
    <w:pPr>
      <w:widowControl w:val="0"/>
      <w:jc w:val="left"/>
    </w:pPr>
    <w:rPr>
      <w:rFonts w:ascii="等线" w:eastAsia="等线" w:cs="黑体"/>
      <w:b/>
      <w:kern w:val="2"/>
      <w:sz w:val="21"/>
      <w:szCs w:val="22"/>
      <w:lang w:val="en-US" w:eastAsia="zh-CN" w:bidi="ar-SA"/>
    </w:rPr>
  </w:style>
  <w:style w:type="character" w:styleId="29">
    <w:name w:val="page number"/>
  </w:style>
  <w:style w:type="paragraph" w:customStyle="1" w:styleId="30">
    <w:name w:val="正文 New New New New New New New New"/>
    <w:next w:val="22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customStyle="1" w:styleId="31">
    <w:name w:val="正文 New New New New New New New New New New New New New New New New New New New New New"/>
    <w:next w:val="2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">
    <w:name w:val="正文 New New New New New New New New New New New New New New New New New New"/>
    <w:next w:val="18"/>
    <w:pPr>
      <w:widowControl w:val="0"/>
      <w:jc w:val="both"/>
    </w:pPr>
    <w:rPr>
      <w:rFonts w:ascii="Calibri" w:eastAsia="宋体" w:cs="宋体" w:hAnsi="Calibri"/>
      <w:kern w:val="2"/>
      <w:sz w:val="21"/>
      <w:szCs w:val="24"/>
      <w:lang w:val="en-US" w:eastAsia="zh-CN" w:bidi="ar-SA"/>
    </w:rPr>
  </w:style>
  <w:style w:type="paragraph" w:customStyle="1" w:styleId="33">
    <w:name w:val="正文 New New New New New New New New New New New"/>
    <w:next w:val="19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customStyle="1" w:styleId="34">
    <w:name w:val="正文 New New New New"/>
    <w:next w:val="25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customStyle="1" w:styleId="35">
    <w:name w:val="正文 New New New New New New"/>
    <w:next w:val="24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3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896</TotalTime>
  <Application>Yozo_Office27021597764231179</Application>
  <Pages>5</Pages>
  <Words>1993</Words>
  <Characters>2043</Characters>
  <Lines>96</Lines>
  <Paragraphs>44</Paragraphs>
  <CharactersWithSpaces>2056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cp:lastPrinted>2024-09-23T00:50:04Z</cp:lastPrinted>
  <dcterms:created xsi:type="dcterms:W3CDTF">2020-05-08T22:11:00Z</dcterms:created>
  <dcterms:modified xsi:type="dcterms:W3CDTF">2024-09-23T09:56:47Z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  <property fmtid="{D5CDD505-2E9C-101B-9397-08002B2CF9AE}" pid="3" name="ICV">
    <vt:lpwstr>89619E82A7D84C008CAA8B945BDB0DA1_12</vt:lpwstr>
  </property>
</Properties>
</file>